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74A" w:rsidRDefault="00B2174A" w:rsidP="0073380D">
      <w:pPr>
        <w:spacing w:after="0"/>
        <w:rPr>
          <w:b/>
        </w:rPr>
      </w:pPr>
    </w:p>
    <w:p w:rsidR="00B2174A" w:rsidRDefault="00B2174A" w:rsidP="0073380D">
      <w:pPr>
        <w:spacing w:after="0"/>
        <w:rPr>
          <w:b/>
        </w:rPr>
      </w:pPr>
    </w:p>
    <w:p w:rsidR="00B2174A" w:rsidRDefault="00B2174A" w:rsidP="0073380D">
      <w:pPr>
        <w:spacing w:after="0"/>
        <w:rPr>
          <w:b/>
        </w:rPr>
      </w:pPr>
    </w:p>
    <w:p w:rsidR="00B2174A" w:rsidRDefault="00B2174A" w:rsidP="0073380D">
      <w:pPr>
        <w:spacing w:after="0"/>
        <w:rPr>
          <w:b/>
        </w:rPr>
      </w:pPr>
    </w:p>
    <w:p w:rsidR="00B2174A" w:rsidRDefault="00B2174A" w:rsidP="0073380D">
      <w:pPr>
        <w:spacing w:after="0"/>
        <w:rPr>
          <w:b/>
        </w:rPr>
      </w:pPr>
    </w:p>
    <w:p w:rsidR="00B2174A" w:rsidRDefault="00B2174A" w:rsidP="0073380D">
      <w:pPr>
        <w:spacing w:after="0"/>
        <w:rPr>
          <w:b/>
        </w:rPr>
      </w:pPr>
    </w:p>
    <w:p w:rsidR="00B2174A" w:rsidRPr="00B2174A" w:rsidRDefault="00B2174A" w:rsidP="0073380D">
      <w:pPr>
        <w:spacing w:after="0"/>
        <w:jc w:val="center"/>
      </w:pPr>
      <w:bookmarkStart w:id="0" w:name="_GoBack"/>
      <w:r w:rsidRPr="00B2174A">
        <w:t xml:space="preserve">Interpreting Medical </w:t>
      </w:r>
      <w:bookmarkEnd w:id="0"/>
      <w:r w:rsidRPr="00B2174A">
        <w:t>Date and Statistics from Charts and Tables</w:t>
      </w:r>
    </w:p>
    <w:p w:rsidR="00B2174A" w:rsidRPr="00B2174A" w:rsidRDefault="00B2174A" w:rsidP="0073380D">
      <w:pPr>
        <w:spacing w:after="0"/>
        <w:jc w:val="center"/>
      </w:pPr>
      <w:r w:rsidRPr="00B2174A">
        <w:t>Name of Student</w:t>
      </w:r>
    </w:p>
    <w:p w:rsidR="00B2174A" w:rsidRPr="00B2174A" w:rsidRDefault="00B2174A" w:rsidP="0073380D">
      <w:pPr>
        <w:spacing w:after="0"/>
        <w:jc w:val="center"/>
      </w:pPr>
      <w:r w:rsidRPr="00B2174A">
        <w:t>Name of Institution</w:t>
      </w:r>
    </w:p>
    <w:p w:rsidR="00B2174A" w:rsidRDefault="00B2174A" w:rsidP="0073380D">
      <w:pPr>
        <w:spacing w:after="0"/>
        <w:jc w:val="center"/>
        <w:rPr>
          <w:b/>
        </w:rPr>
      </w:pPr>
      <w:r w:rsidRPr="00B2174A">
        <w:t>Date</w:t>
      </w:r>
      <w:r>
        <w:rPr>
          <w:b/>
        </w:rPr>
        <w:br w:type="page"/>
      </w:r>
    </w:p>
    <w:p w:rsidR="00B2174A" w:rsidRDefault="00B2174A" w:rsidP="0073380D">
      <w:pPr>
        <w:spacing w:after="0"/>
        <w:jc w:val="center"/>
        <w:rPr>
          <w:b/>
        </w:rPr>
      </w:pPr>
      <w:r>
        <w:rPr>
          <w:b/>
        </w:rPr>
        <w:lastRenderedPageBreak/>
        <w:t>Part 1</w:t>
      </w:r>
    </w:p>
    <w:p w:rsidR="00B2174A" w:rsidRPr="00B2174A" w:rsidRDefault="00B2174A" w:rsidP="0073380D">
      <w:pPr>
        <w:spacing w:after="0"/>
        <w:rPr>
          <w:b/>
        </w:rPr>
      </w:pPr>
      <w:r w:rsidRPr="00B2174A">
        <w:rPr>
          <w:b/>
        </w:rPr>
        <w:t>Differentiate between morbidity and mortality.</w:t>
      </w:r>
    </w:p>
    <w:p w:rsidR="00B2174A" w:rsidRDefault="00B2174A" w:rsidP="0073380D">
      <w:pPr>
        <w:spacing w:after="0"/>
        <w:ind w:firstLine="720"/>
      </w:pPr>
      <w:r>
        <w:t>Morbidity defines the condition of a person being sick and unhealthy, whereas mortality describes the state of being dead (Husain, 2018).</w:t>
      </w:r>
    </w:p>
    <w:p w:rsidR="00B2174A" w:rsidRPr="00B2174A" w:rsidRDefault="00B2174A" w:rsidP="0073380D">
      <w:pPr>
        <w:spacing w:after="0"/>
        <w:rPr>
          <w:b/>
        </w:rPr>
      </w:pPr>
      <w:r w:rsidRPr="00B2174A">
        <w:rPr>
          <w:b/>
        </w:rPr>
        <w:t>Define morbidity rate and mortality rate</w:t>
      </w:r>
    </w:p>
    <w:p w:rsidR="00B2174A" w:rsidRDefault="00B2174A" w:rsidP="0073380D">
      <w:pPr>
        <w:spacing w:after="0"/>
        <w:ind w:firstLine="720"/>
      </w:pPr>
      <w:r>
        <w:t xml:space="preserve">The mortality rate is a measure of the occurrence of death in numbers within a defined and sized population, with detailed specifications of a time range. Morbidity rate, on the other hand, describes the ratio percentage of the portions of people suffering from a medical condition to the population group the sample belongs. </w:t>
      </w:r>
    </w:p>
    <w:p w:rsidR="00B2174A" w:rsidRPr="00B2174A" w:rsidRDefault="00B2174A" w:rsidP="0073380D">
      <w:pPr>
        <w:spacing w:after="0"/>
        <w:rPr>
          <w:b/>
        </w:rPr>
      </w:pPr>
      <w:r w:rsidRPr="00B2174A">
        <w:rPr>
          <w:b/>
        </w:rPr>
        <w:t>Explain what these rates mean for epidemiologists. Explain what these rates mean for the general public.</w:t>
      </w:r>
    </w:p>
    <w:p w:rsidR="00B2174A" w:rsidRDefault="00B2174A" w:rsidP="0073380D">
      <w:pPr>
        <w:spacing w:after="0"/>
        <w:ind w:firstLine="720"/>
      </w:pPr>
      <w:r>
        <w:t>For epidemiologists, the morbidity and mortality rates are significant in measuring the severity and prognosis, projected outcome, of the diseases in question. The case fatality rate defines the proportions of these measurements (Ma, Danoff, &amp; Borish, 2014). Morbidity and mortality rates also provide data essential in the determination of the distribution of the medical condition described. For the general public, the morbidity and mortality rates are improving their perception about the medical conditions illustrated. This perception is relevant in the determination of symptoms related to a particular disease that is prevalent across a region, and the necessity of seeking immediate treatment.</w:t>
      </w:r>
    </w:p>
    <w:p w:rsidR="00B2174A" w:rsidRDefault="00B2174A" w:rsidP="0073380D">
      <w:pPr>
        <w:spacing w:after="0"/>
        <w:jc w:val="center"/>
        <w:rPr>
          <w:b/>
        </w:rPr>
      </w:pPr>
      <w:r>
        <w:rPr>
          <w:b/>
        </w:rPr>
        <w:t>Part 2</w:t>
      </w:r>
    </w:p>
    <w:p w:rsidR="00B2174A" w:rsidRPr="00B2174A" w:rsidRDefault="00B2174A" w:rsidP="0073380D">
      <w:pPr>
        <w:spacing w:after="0"/>
        <w:rPr>
          <w:b/>
        </w:rPr>
      </w:pPr>
      <w:r w:rsidRPr="00B2174A">
        <w:rPr>
          <w:b/>
        </w:rPr>
        <w:t>Select two diseases that are listed down on the left side of the page in Table I.</w:t>
      </w:r>
    </w:p>
    <w:p w:rsidR="00B2174A" w:rsidRDefault="00B2174A" w:rsidP="0073380D">
      <w:pPr>
        <w:pStyle w:val="ListParagraph"/>
        <w:numPr>
          <w:ilvl w:val="0"/>
          <w:numId w:val="1"/>
        </w:numPr>
        <w:spacing w:after="0"/>
      </w:pPr>
      <w:r>
        <w:t>Cyclosporiasis</w:t>
      </w:r>
    </w:p>
    <w:p w:rsidR="00B2174A" w:rsidRDefault="00B2174A" w:rsidP="0073380D">
      <w:pPr>
        <w:pStyle w:val="ListParagraph"/>
        <w:numPr>
          <w:ilvl w:val="0"/>
          <w:numId w:val="1"/>
        </w:numPr>
        <w:spacing w:after="0"/>
      </w:pPr>
      <w:r>
        <w:t>Q fever</w:t>
      </w:r>
    </w:p>
    <w:p w:rsidR="00B2174A" w:rsidRPr="00B2174A" w:rsidRDefault="00B2174A" w:rsidP="0073380D">
      <w:pPr>
        <w:spacing w:after="0"/>
        <w:rPr>
          <w:b/>
        </w:rPr>
      </w:pPr>
      <w:r w:rsidRPr="00B2174A">
        <w:rPr>
          <w:b/>
        </w:rPr>
        <w:lastRenderedPageBreak/>
        <w:t>Summarize the nature of the two selected diseases.</w:t>
      </w:r>
    </w:p>
    <w:p w:rsidR="00B2174A" w:rsidRDefault="00B2174A" w:rsidP="0073380D">
      <w:pPr>
        <w:spacing w:after="0"/>
        <w:ind w:firstLine="720"/>
      </w:pPr>
      <w:r>
        <w:t xml:space="preserve">Cyclosporiasis is an intestinal infection caused by a single cell protistan pathogens from the parasite called cyclospora cayetanensis. Cyclosporiasis affects the small intestine and as such is associated with water diarrhea, characterized by frequent and explosive bowel movements. Other symptoms include loss of appetite, bloating, weight loss, fatigue, stomach pains, increased gas, and nausea.in rare occurrences, the disease also demonstrates symptoms of flu-like vomiting, aching of the body and fever (Giangaspero &amp; Gasser, 2019). Q fever is a bacterial infection caused by the bacteria Coxiella burnetii frequently found in infected cattle, sheep, or goats. The disease results in mild symptoms such as high fever, chills and sweats, headache, clay-colored stools, diarrhea, chest pains while breathing, abdominal pain, shortness of breath, nausea, and jaundice. A rash is not a common symptom and disappears after a while. A blood antibody test is a test carried out for the diagnosis of Q fever (Derrick, 2007). </w:t>
      </w:r>
    </w:p>
    <w:p w:rsidR="00B2174A" w:rsidRPr="00B2174A" w:rsidRDefault="00B2174A" w:rsidP="0073380D">
      <w:pPr>
        <w:spacing w:after="0"/>
        <w:rPr>
          <w:b/>
        </w:rPr>
      </w:pPr>
      <w:r w:rsidRPr="00B2174A">
        <w:rPr>
          <w:b/>
        </w:rPr>
        <w:t>Explain the trend in reported cases of the two diseases.</w:t>
      </w:r>
    </w:p>
    <w:p w:rsidR="00B2174A" w:rsidRDefault="00B2174A" w:rsidP="0073380D">
      <w:pPr>
        <w:spacing w:after="0"/>
        <w:ind w:firstLine="720"/>
      </w:pPr>
      <w:r>
        <w:t xml:space="preserve">Cyclosporiasis had a small rise in representation from the year 2009-2010 then observed depression in figures in the following two years. The year 2013 records an outbreak from people who traveled out of the country and laboratory outbreaks which signify the surge of the figures from 123 to 784 during that year. All three cases reported of the disease in the current week appear in Florida. Q fever has endured a steady rise in the number recorded from the year 2009 to 2013 from 113, all through 131, 134, 135, to 170. The current cumulative total for the year 2014 is at 136. </w:t>
      </w:r>
    </w:p>
    <w:p w:rsidR="00B2174A" w:rsidRDefault="00B2174A" w:rsidP="0073380D">
      <w:pPr>
        <w:spacing w:after="0"/>
        <w:jc w:val="center"/>
        <w:rPr>
          <w:b/>
        </w:rPr>
      </w:pPr>
      <w:r>
        <w:rPr>
          <w:b/>
        </w:rPr>
        <w:t>Part 3</w:t>
      </w:r>
    </w:p>
    <w:p w:rsidR="00B2174A" w:rsidRPr="00B2174A" w:rsidRDefault="00B2174A" w:rsidP="0073380D">
      <w:pPr>
        <w:spacing w:after="0"/>
        <w:rPr>
          <w:b/>
        </w:rPr>
      </w:pPr>
      <w:r w:rsidRPr="00B2174A">
        <w:rPr>
          <w:b/>
        </w:rPr>
        <w:t xml:space="preserve">From table II, find your state for the following diseases: mumps, pertussis, gonorrhea, pneumococcal diseases for all ages (NOT &lt;5), syphilis, and hepatitis B. </w:t>
      </w:r>
    </w:p>
    <w:p w:rsidR="00B2174A" w:rsidRPr="00B2174A" w:rsidRDefault="00B2174A" w:rsidP="0073380D">
      <w:pPr>
        <w:spacing w:after="0"/>
        <w:rPr>
          <w:b/>
        </w:rPr>
      </w:pPr>
      <w:r w:rsidRPr="00B2174A">
        <w:rPr>
          <w:b/>
        </w:rPr>
        <w:lastRenderedPageBreak/>
        <w:t>Explain the trend in the reported cases of each disease within your state. Compare your states' cases with the total listed for the United States.</w:t>
      </w:r>
    </w:p>
    <w:p w:rsidR="00B2174A" w:rsidRDefault="00B2174A" w:rsidP="0073380D">
      <w:pPr>
        <w:spacing w:after="0"/>
        <w:ind w:firstLine="720"/>
      </w:pPr>
      <w:r>
        <w:t xml:space="preserve">Mumps from Rhode Island had no occurrences recorded in the current week whereas the United States files 12 cases. The cumulative totals in Rhode Island for 2013 recorded three instances with the mortality rate dropping to nil in 2014, while the mortality rate in the United States almost doubled within the same time frame from 584 cases to 1151 cases. In the past 52 weeks, there has not been a single recorded incident of the disease. Mumps in the past 52 weeks in the United States, however, documents a maximum figure of 117 with a median of 11 cases. </w:t>
      </w:r>
    </w:p>
    <w:p w:rsidR="00B2174A" w:rsidRDefault="00B2174A" w:rsidP="0073380D">
      <w:pPr>
        <w:spacing w:after="0"/>
        <w:ind w:firstLine="720"/>
      </w:pPr>
      <w:r>
        <w:t>Pertussis also had no recorded occurrences the current week in Rhode Island, but the nation logs 161 cases. The mortality rate from 2013 dropped from 160 to 93 in 2014 in the State whereas the nation's numbers dropped by 0.07%. In the past 52 weeks, the maximum number of cases was 23 without a median figure, while the country had a maximum sum of 768 and a median of 507. Gonorrhea, on the other hand, had no reported incident this week in Rhode Island but the United States recorded 2908 cases. The mortality rate for gonorrhea disease in the state rose from 454 cases in 2013 to 558 in 2014. A rise was also documented from 330,526 to 331,411 in the same period. In the past 52 weeks, the figures for the maximum cases were 41 for the state as compared to 7,206 for the nation, and medians of 4 for state and 6,435 for the country.</w:t>
      </w:r>
    </w:p>
    <w:p w:rsidR="00B2174A" w:rsidRDefault="00B2174A" w:rsidP="0073380D">
      <w:pPr>
        <w:spacing w:after="0"/>
        <w:ind w:firstLine="720"/>
      </w:pPr>
      <w:r>
        <w:t xml:space="preserve">Invasive pneumococcal diseases for all ages in Rhode Island had no reported cases while the United States cataloged 212 cases. There is a gradual depression in mortality rates for both the state and the nation from 2013 to 2014 recorded with figures from 76 to 65, and 16,666 to 13,083 respectively. The maximum number of cases for the state was 6 with a median value of 1, whereas the figures of 494 and 230 mark the same statistics for the United States respectively. In </w:t>
      </w:r>
      <w:r>
        <w:lastRenderedPageBreak/>
        <w:t xml:space="preserve">the cases of syphilis, the United States had 90 cases reported in the current week while Rhode Island had none. The mortality rates gradually increased for both the state and nation from 2013 to 2014 with the United States reporting 17,207 to 18,131 cases and the Rhode Island reporting 45 incidents cases and 68 respectively. The maximum cases from Rhode Island were 5 with a median figure of 1 while the same statistics for the United States represented 417 and 360 cases respectively. There are no cases for the entire period of 2013 and 2014 including the current week for Hepatitis B from Rhode Island. The United States reports 13 cases of Hepatitis B in the current week with a maximum occurrence of 116 cases and a median of 49 in the past 52 weeks. The mortality rate from the disease dropped from 2013 to 2014 from 3,050 to 2,636. </w:t>
      </w:r>
    </w:p>
    <w:p w:rsidR="00B2174A" w:rsidRPr="00B2174A" w:rsidRDefault="00B2174A" w:rsidP="0073380D">
      <w:pPr>
        <w:spacing w:after="0"/>
        <w:rPr>
          <w:b/>
        </w:rPr>
      </w:pPr>
      <w:r w:rsidRPr="00B2174A">
        <w:rPr>
          <w:b/>
        </w:rPr>
        <w:t xml:space="preserve">Explain what this means to epidemiologists and the general public. </w:t>
      </w:r>
    </w:p>
    <w:p w:rsidR="00B2174A" w:rsidRDefault="00B2174A" w:rsidP="0073380D">
      <w:pPr>
        <w:spacing w:after="0"/>
        <w:ind w:firstLine="720"/>
      </w:pPr>
      <w:r>
        <w:t>The public will rest easy knowing that the threat of mumps and Hepatitis B is nonexistent and that the mortality rates for pertussis and pneumococcal disease are dropping. The increased mortality rates of syphilis and gonorrhea should serve to keep the public aware and instill safety measures as advised against them. The data for epidemiologists signifies that strategies and techniques adopted in the fight against pertussis, Hepatitis B, mumps and pneumococcal disease are taking effect and should be passed on a national scale to enhance effectiveness. The epidemiologists, however, are obliged to conduct more surveys and test into generating preventive and curative measures for syphilis and gonorrhea in Rhode Island.</w:t>
      </w:r>
    </w:p>
    <w:sdt>
      <w:sdtPr>
        <w:rPr>
          <w:rFonts w:ascii="Times New Roman" w:eastAsiaTheme="minorHAnsi" w:hAnsi="Times New Roman" w:cstheme="minorBidi"/>
          <w:b w:val="0"/>
          <w:bCs w:val="0"/>
          <w:color w:val="auto"/>
          <w:sz w:val="24"/>
          <w:szCs w:val="22"/>
          <w:lang w:eastAsia="en-US"/>
        </w:rPr>
        <w:id w:val="-475687040"/>
        <w:docPartObj>
          <w:docPartGallery w:val="Bibliographies"/>
          <w:docPartUnique/>
        </w:docPartObj>
      </w:sdtPr>
      <w:sdtEndPr/>
      <w:sdtContent>
        <w:p w:rsidR="00B2174A" w:rsidRPr="00B2174A" w:rsidRDefault="00B2174A" w:rsidP="0073380D">
          <w:pPr>
            <w:pStyle w:val="Heading1"/>
            <w:spacing w:before="0" w:line="480" w:lineRule="auto"/>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B2174A" w:rsidRDefault="00B2174A" w:rsidP="0073380D">
              <w:pPr>
                <w:pStyle w:val="Bibliography"/>
                <w:spacing w:after="0"/>
                <w:ind w:left="720" w:hanging="720"/>
                <w:rPr>
                  <w:noProof/>
                </w:rPr>
              </w:pPr>
              <w:r>
                <w:fldChar w:fldCharType="begin"/>
              </w:r>
              <w:r>
                <w:instrText xml:space="preserve"> BIBLIOGRAPHY </w:instrText>
              </w:r>
              <w:r>
                <w:fldChar w:fldCharType="separate"/>
              </w:r>
              <w:r>
                <w:rPr>
                  <w:noProof/>
                </w:rPr>
                <w:t xml:space="preserve">Derrick, E. H. (2007). " Q" Fever, a New Fever Entity: Clinical Features, Diagnosis and Laboratory Investigation. </w:t>
              </w:r>
              <w:r>
                <w:rPr>
                  <w:i/>
                  <w:iCs/>
                  <w:noProof/>
                </w:rPr>
                <w:t>Medical Journal of Australia, 2</w:t>
              </w:r>
              <w:r>
                <w:rPr>
                  <w:noProof/>
                </w:rPr>
                <w:t>(8).</w:t>
              </w:r>
            </w:p>
            <w:p w:rsidR="00B2174A" w:rsidRDefault="00B2174A" w:rsidP="0073380D">
              <w:pPr>
                <w:pStyle w:val="Bibliography"/>
                <w:spacing w:after="0"/>
                <w:ind w:left="720" w:hanging="720"/>
                <w:rPr>
                  <w:noProof/>
                </w:rPr>
              </w:pPr>
              <w:r>
                <w:rPr>
                  <w:noProof/>
                </w:rPr>
                <w:t xml:space="preserve">Giangaspero, A., &amp; Gasser, R. B. (2019). Human cyclosporiasis. . </w:t>
              </w:r>
              <w:r>
                <w:rPr>
                  <w:i/>
                  <w:iCs/>
                  <w:noProof/>
                </w:rPr>
                <w:t>The Lancet Infectious Diseases</w:t>
              </w:r>
              <w:r>
                <w:rPr>
                  <w:noProof/>
                </w:rPr>
                <w:t>. doi:https://doi.org/10.1016/S1473-3099(18)30789-8</w:t>
              </w:r>
            </w:p>
            <w:p w:rsidR="00B2174A" w:rsidRDefault="00B2174A" w:rsidP="0073380D">
              <w:pPr>
                <w:pStyle w:val="Bibliography"/>
                <w:spacing w:after="0"/>
                <w:ind w:left="720" w:hanging="720"/>
                <w:rPr>
                  <w:noProof/>
                </w:rPr>
              </w:pPr>
              <w:r>
                <w:rPr>
                  <w:noProof/>
                </w:rPr>
                <w:lastRenderedPageBreak/>
                <w:t xml:space="preserve">Husain, S. (2018, January 10). </w:t>
              </w:r>
              <w:r>
                <w:rPr>
                  <w:i/>
                  <w:iCs/>
                  <w:noProof/>
                </w:rPr>
                <w:t>Ask an Epi: Morbidity vs. Mortality Rate</w:t>
              </w:r>
              <w:r>
                <w:rPr>
                  <w:noProof/>
                </w:rPr>
                <w:t>. Retrieved from LiveStories: https://www.livestories.com/blog/morbidity-vs-mortality-rate</w:t>
              </w:r>
            </w:p>
            <w:p w:rsidR="00B2174A" w:rsidRDefault="00B2174A" w:rsidP="0073380D">
              <w:pPr>
                <w:pStyle w:val="Bibliography"/>
                <w:spacing w:after="0"/>
                <w:ind w:left="720" w:hanging="720"/>
                <w:rPr>
                  <w:noProof/>
                </w:rPr>
              </w:pPr>
              <w:r>
                <w:rPr>
                  <w:noProof/>
                </w:rPr>
                <w:t xml:space="preserve">Ma, L., Danoff, T. M., &amp; Borish, L. (2014). Case fatality and population mortality associated with anaphylaxis in the United States. </w:t>
              </w:r>
              <w:r>
                <w:rPr>
                  <w:i/>
                  <w:iCs/>
                  <w:noProof/>
                </w:rPr>
                <w:t>Journal of Allergy and Clinical Immunology, 133</w:t>
              </w:r>
              <w:r>
                <w:rPr>
                  <w:noProof/>
                </w:rPr>
                <w:t>(4), 1075-1083.</w:t>
              </w:r>
            </w:p>
            <w:p w:rsidR="00B2174A" w:rsidRDefault="00B2174A" w:rsidP="0073380D">
              <w:pPr>
                <w:spacing w:after="0"/>
              </w:pPr>
              <w:r>
                <w:rPr>
                  <w:b/>
                  <w:bCs/>
                  <w:noProof/>
                </w:rPr>
                <w:fldChar w:fldCharType="end"/>
              </w:r>
            </w:p>
          </w:sdtContent>
        </w:sdt>
      </w:sdtContent>
    </w:sdt>
    <w:p w:rsidR="00C515FE" w:rsidRPr="00B2174A" w:rsidRDefault="00C515FE" w:rsidP="0073380D">
      <w:pPr>
        <w:spacing w:after="0"/>
      </w:pPr>
    </w:p>
    <w:sectPr w:rsidR="00C515FE" w:rsidRPr="00B2174A" w:rsidSect="00B2174A">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4312" w:rsidRDefault="00ED4312" w:rsidP="00B2174A">
      <w:pPr>
        <w:spacing w:after="0" w:line="240" w:lineRule="auto"/>
      </w:pPr>
      <w:r>
        <w:separator/>
      </w:r>
    </w:p>
  </w:endnote>
  <w:endnote w:type="continuationSeparator" w:id="0">
    <w:p w:rsidR="00ED4312" w:rsidRDefault="00ED4312" w:rsidP="00B21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21002A87" w:usb1="00000000" w:usb2="00000000"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4312" w:rsidRDefault="00ED4312" w:rsidP="00B2174A">
      <w:pPr>
        <w:spacing w:after="0" w:line="240" w:lineRule="auto"/>
      </w:pPr>
      <w:r>
        <w:separator/>
      </w:r>
    </w:p>
  </w:footnote>
  <w:footnote w:type="continuationSeparator" w:id="0">
    <w:p w:rsidR="00ED4312" w:rsidRDefault="00ED4312" w:rsidP="00B21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174A" w:rsidRDefault="00B2174A">
    <w:pPr>
      <w:pStyle w:val="Header"/>
      <w:jc w:val="right"/>
    </w:pPr>
    <w:r>
      <w:t xml:space="preserve">INTERPRETING DATA FROM CHARTS </w:t>
    </w:r>
    <w:r>
      <w:tab/>
    </w:r>
    <w:r>
      <w:tab/>
    </w:r>
    <w:sdt>
      <w:sdtPr>
        <w:id w:val="-137751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3380D">
          <w:rPr>
            <w:noProof/>
          </w:rPr>
          <w:t>2</w:t>
        </w:r>
        <w:r>
          <w:rPr>
            <w:noProof/>
          </w:rPr>
          <w:fldChar w:fldCharType="end"/>
        </w:r>
      </w:sdtContent>
    </w:sdt>
  </w:p>
  <w:p w:rsidR="00B2174A" w:rsidRDefault="00B2174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174A" w:rsidRDefault="00B2174A">
    <w:pPr>
      <w:pStyle w:val="Header"/>
      <w:jc w:val="right"/>
    </w:pPr>
    <w:r>
      <w:t>Running Head: INTERPRETING DATA FROM CHARTS</w:t>
    </w:r>
    <w:r>
      <w:tab/>
    </w:r>
    <w:sdt>
      <w:sdtPr>
        <w:id w:val="-3956660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3380D">
          <w:rPr>
            <w:noProof/>
          </w:rPr>
          <w:t>1</w:t>
        </w:r>
        <w:r>
          <w:rPr>
            <w:noProof/>
          </w:rPr>
          <w:fldChar w:fldCharType="end"/>
        </w:r>
      </w:sdtContent>
    </w:sdt>
  </w:p>
  <w:p w:rsidR="00B2174A" w:rsidRDefault="00B2174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C41340"/>
    <w:multiLevelType w:val="hybridMultilevel"/>
    <w:tmpl w:val="76B0DB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6A9"/>
    <w:rsid w:val="0003660E"/>
    <w:rsid w:val="00111C5C"/>
    <w:rsid w:val="00140942"/>
    <w:rsid w:val="00191317"/>
    <w:rsid w:val="001B18F5"/>
    <w:rsid w:val="002D0685"/>
    <w:rsid w:val="004D7CCA"/>
    <w:rsid w:val="00513C96"/>
    <w:rsid w:val="0066292A"/>
    <w:rsid w:val="006C3613"/>
    <w:rsid w:val="006E6D27"/>
    <w:rsid w:val="0073380D"/>
    <w:rsid w:val="007A5ECC"/>
    <w:rsid w:val="00823990"/>
    <w:rsid w:val="00853E4A"/>
    <w:rsid w:val="009245F0"/>
    <w:rsid w:val="00A8223C"/>
    <w:rsid w:val="00B2174A"/>
    <w:rsid w:val="00B47769"/>
    <w:rsid w:val="00C515FE"/>
    <w:rsid w:val="00D07665"/>
    <w:rsid w:val="00D24719"/>
    <w:rsid w:val="00E016A9"/>
    <w:rsid w:val="00E22493"/>
    <w:rsid w:val="00E876C2"/>
    <w:rsid w:val="00ED4312"/>
    <w:rsid w:val="00FD3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A07409-E4E0-4617-9D4C-05E918A7C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8223C"/>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77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769"/>
    <w:rPr>
      <w:rFonts w:ascii="Tahoma" w:hAnsi="Tahoma" w:cs="Tahoma"/>
      <w:sz w:val="16"/>
      <w:szCs w:val="16"/>
    </w:rPr>
  </w:style>
  <w:style w:type="character" w:customStyle="1" w:styleId="Heading1Char">
    <w:name w:val="Heading 1 Char"/>
    <w:basedOn w:val="DefaultParagraphFont"/>
    <w:link w:val="Heading1"/>
    <w:uiPriority w:val="9"/>
    <w:rsid w:val="00A8223C"/>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A8223C"/>
  </w:style>
  <w:style w:type="paragraph" w:styleId="ListParagraph">
    <w:name w:val="List Paragraph"/>
    <w:basedOn w:val="Normal"/>
    <w:uiPriority w:val="34"/>
    <w:qFormat/>
    <w:rsid w:val="00B2174A"/>
    <w:pPr>
      <w:ind w:left="720"/>
      <w:contextualSpacing/>
    </w:pPr>
  </w:style>
  <w:style w:type="paragraph" w:styleId="Header">
    <w:name w:val="header"/>
    <w:basedOn w:val="Normal"/>
    <w:link w:val="HeaderChar"/>
    <w:uiPriority w:val="99"/>
    <w:unhideWhenUsed/>
    <w:rsid w:val="00B217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174A"/>
  </w:style>
  <w:style w:type="paragraph" w:styleId="Footer">
    <w:name w:val="footer"/>
    <w:basedOn w:val="Normal"/>
    <w:link w:val="FooterChar"/>
    <w:uiPriority w:val="99"/>
    <w:unhideWhenUsed/>
    <w:rsid w:val="00B217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17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Hus18</b:Tag>
    <b:SourceType>InternetSite</b:SourceType>
    <b:Guid>{A5EA0C85-2FE5-4780-A791-4AE90A271CB8}</b:Guid>
    <b:Title>Ask an Epi: Morbidity vs. Mortality Rate</b:Title>
    <b:Year>2018</b:Year>
    <b:InternetSiteTitle>LiveStories</b:InternetSiteTitle>
    <b:Month>January</b:Month>
    <b:Day>10</b:Day>
    <b:URL>https://www.livestories.com/blog/morbidity-vs-mortality-rate</b:URL>
    <b:Author>
      <b:Author>
        <b:NameList>
          <b:Person>
            <b:Last>Husain</b:Last>
            <b:First>Sofia</b:First>
          </b:Person>
        </b:NameList>
      </b:Author>
    </b:Author>
    <b:RefOrder>1</b:RefOrder>
  </b:Source>
  <b:Source>
    <b:Tag>MaL14</b:Tag>
    <b:SourceType>JournalArticle</b:SourceType>
    <b:Guid>{2C480C0D-15D0-43A7-8AF8-92CEC54BC20B}</b:Guid>
    <b:Title>Case fatality and population mortality associated with anaphylaxis in the United States.</b:Title>
    <b:Year>2014</b:Year>
    <b:JournalName>Journal of Allergy and Clinical Immunology</b:JournalName>
    <b:Pages>1075-1083</b:Pages>
    <b:Author>
      <b:Author>
        <b:NameList>
          <b:Person>
            <b:Last>Ma</b:Last>
            <b:First>Larry</b:First>
          </b:Person>
          <b:Person>
            <b:Last>Danoff</b:Last>
            <b:Middle>M.</b:Middle>
            <b:First>Theodore</b:First>
          </b:Person>
          <b:Person>
            <b:Last>Borish</b:Last>
            <b:First>Larry</b:First>
          </b:Person>
        </b:NameList>
      </b:Author>
    </b:Author>
    <b:Volume>133</b:Volume>
    <b:Issue>4</b:Issue>
    <b:RefOrder>2</b:RefOrder>
  </b:Source>
  <b:Source>
    <b:Tag>Gia19</b:Tag>
    <b:SourceType>JournalArticle</b:SourceType>
    <b:Guid>{4997C110-E9F1-423A-9A7A-F487CE1B4218}</b:Guid>
    <b:Title>Human cyclosporiasis. </b:Title>
    <b:JournalName>The Lancet Infectious Diseases</b:JournalName>
    <b:Year>2019</b:Year>
    <b:DOI>https://doi.org/10.1016/S1473-3099(18)30789-8</b:DOI>
    <b:Author>
      <b:Author>
        <b:NameList>
          <b:Person>
            <b:Last>Giangaspero</b:Last>
            <b:First>Annunziata</b:First>
          </b:Person>
          <b:Person>
            <b:Last>Gasser</b:Last>
            <b:Middle>B.</b:Middle>
            <b:First>Robin</b:First>
          </b:Person>
        </b:NameList>
      </b:Author>
    </b:Author>
    <b:RefOrder>3</b:RefOrder>
  </b:Source>
  <b:Source>
    <b:Tag>Der07</b:Tag>
    <b:SourceType>JournalArticle</b:SourceType>
    <b:Guid>{471770E2-2E61-4D4A-A1CE-54BB2031BA03}</b:Guid>
    <b:Title>" Q" Fever, a New Fever Entity: Clinical Features, Diagnosis and Laboratory Investigation.</b:Title>
    <b:JournalName>Medical Journal of Australia</b:JournalName>
    <b:Year>2007</b:Year>
    <b:Author>
      <b:Author>
        <b:NameList>
          <b:Person>
            <b:Last>Derrick</b:Last>
            <b:Middle>H.</b:Middle>
            <b:First>E.</b:First>
          </b:Person>
        </b:NameList>
      </b:Author>
    </b:Author>
    <b:Volume>2</b:Volume>
    <b:Issue>8</b:Issue>
    <b:RefOrder>4</b:RefOrder>
  </b:Source>
</b:Sources>
</file>

<file path=customXml/itemProps1.xml><?xml version="1.0" encoding="utf-8"?>
<ds:datastoreItem xmlns:ds="http://schemas.openxmlformats.org/officeDocument/2006/customXml" ds:itemID="{1567EDB8-4729-49FA-A9A9-F6D7BFE2E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1165</Words>
  <Characters>6645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2019-04-07T18:59:00Z</dcterms:created>
  <dcterms:modified xsi:type="dcterms:W3CDTF">2019-04-07T18:59:00Z</dcterms:modified>
</cp:coreProperties>
</file>